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2024-10-01</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the near real-time and consistent retrieval of seagrass EOVs and EBVs over extensive meadows.</w:t>
      </w:r>
      <w:r>
        <w:t xml:space="preserve"> </w:t>
      </w:r>
      <w:r>
        <w:t xml:space="preserve">(Coffer et al., 2023; Traganos and Reinartz, 2018; Xu et al., 2021; Zoffoli et al., 2021)</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Therefore, to someone not specialized in the field, their spectral signatures may appear to be alike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most case studies were previously limited to a single flight,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
          <w:iCs/>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ayout w:type="fixed"/>
        <w:tblLook w:firstRow="0" w:lastRow="0" w:firstColumn="0" w:lastColumn="0" w:noHBand="0" w:noVBand="0" w:val="0000"/>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ayout w:type="fixed"/>
        <w:tblLook w:firstRow="0" w:lastRow="0" w:firstColumn="0" w:lastColumn="0" w:noHBand="0" w:noVBand="0" w:val="0000"/>
      </w:tblPr>
      <w:tblGrid>
        <w:gridCol w:w="7920"/>
      </w:tblGrid>
      <w:tr>
        <w:tc>
          <w:tcPr/>
          <w:bookmarkStart w:id="69" w:name="fig-GafLow"/>
          <w:p>
            <w:pPr>
              <w:pStyle w:val="Compact"/>
              <w:jc w:val="center"/>
            </w:pPr>
            <w:r>
              <w:drawing>
                <wp:inline>
                  <wp:extent cx="5334000" cy="2803823"/>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ayout w:type="fixed"/>
        <w:tblLook w:firstRow="0" w:lastRow="0" w:firstColumn="0" w:lastColumn="0" w:noHBand="0" w:noVBand="0" w:val="0000"/>
      </w:tblPr>
      <w:tblGrid>
        <w:gridCol w:w="7920"/>
      </w:tblGrid>
      <w:tr>
        <w:tc>
          <w:tcPr/>
          <w:bookmarkStart w:id="74" w:name="fig-GafHigh"/>
          <w:p>
            <w:pPr>
              <w:pStyle w:val="Compact"/>
              <w:jc w:val="center"/>
            </w:pPr>
            <w:r>
              <w:drawing>
                <wp:inline>
                  <wp:extent cx="5334000" cy="4532569"/>
                  <wp:effectExtent b="0" l="0" r="0" t="0"/>
                  <wp:docPr descr="" title="" id="72" name="Picture"/>
                  <a:graphic>
                    <a:graphicData uri="http://schemas.openxmlformats.org/drawingml/2006/picture">
                      <pic:pic>
                        <pic:nvPicPr>
                          <pic:cNvPr descr="./Figures/Low_res/Maps%20Pred/FigX-Gaf_High_Pred1.png" id="73" name="Picture"/>
                          <pic:cNvPicPr>
                            <a:picLocks noChangeArrowheads="1" noChangeAspect="1"/>
                          </pic:cNvPicPr>
                        </pic:nvPicPr>
                        <pic:blipFill>
                          <a:blip r:embed="rId71"/>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80" w:name="cell-fig-Boat"/>
    <w:tbl>
      <w:tblPr>
        <w:tblStyle w:val="Table"/>
        <w:tblW w:type="pct" w:w="5000"/>
        <w:tblLayout w:type="fixed"/>
        <w:tblLook w:firstRow="0" w:lastRow="0" w:firstColumn="0" w:lastColumn="0" w:noHBand="0" w:noVBand="0" w:val="0000"/>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ayout w:type="fixed"/>
        <w:tblLook w:firstRow="0" w:lastRow="0" w:firstColumn="0" w:lastColumn="0" w:noHBand="0" w:noVBand="0" w:val="0000"/>
      </w:tblPr>
      <w:tblGrid>
        <w:gridCol w:w="7920"/>
      </w:tblGrid>
      <w:tr>
        <w:tc>
          <w:tcPr/>
          <w:bookmarkStart w:id="84" w:name="fig-Dike"/>
          <w:p>
            <w:pPr>
              <w:pStyle w:val="Compact"/>
              <w:jc w:val="center"/>
            </w:pPr>
            <w:r>
              <w:drawing>
                <wp:inline>
                  <wp:extent cx="5334000" cy="4000500"/>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ayout w:type="fixed"/>
        <w:tblLook w:firstRow="0" w:lastRow="0" w:firstColumn="0" w:lastColumn="0" w:noHBand="0" w:noVBand="0" w:val="0000"/>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ayout w:type="fixed"/>
        <w:tblLook w:firstRow="0" w:lastRow="0" w:firstColumn="0" w:lastColumn="0" w:noHBand="0" w:noVBand="0" w:val="0000"/>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illustrated the relationship between predicted area loss for different vegetation types and map resolution. The highest resolution used for resampling was 10 cm, at which point vegetation area had already started to decrease. The losses ranged from 21% for red algae to 5% for seagrass, depending on the vegetation type. As pixel size increased, the retrieved vegetation area decreased for all classes. This reduction was most severe for green algae, which experienced a sharp decline once pixel size exceeded 10 m, culminating in a complete loss (100%) at a 30 m pixel size. Seagrass exhibited the lowest loss at coarser resolutions, though it still showed a clear decline, with area loss increasing from over 5% at 10 cm to around 11% at 30 m. Brown algae and red algae experienced more moderate declines, with losses at 30 m resolution reaching approximately 37% and 59%, respectively.</w:t>
      </w:r>
    </w:p>
    <w:bookmarkStart w:id="103" w:name="cell-fig-pixelsize"/>
    <w:tbl>
      <w:tblPr>
        <w:tblStyle w:val="Table"/>
        <w:tblW w:type="pct" w:w="5000"/>
        <w:tblLayout w:type="fixed"/>
        <w:tblLook w:firstRow="0" w:lastRow="0" w:firstColumn="0" w:lastColumn="0" w:noHBand="0" w:noVBand="0" w:val="0000"/>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showed a significant effect of pixel resolution on the mapped vegetation area, indicating a positive relationship between resolution and area loss (</w:t>
      </w:r>
      <m:oMath>
        <m:r>
          <m:t>β</m:t>
        </m:r>
        <m:r>
          <m:rPr>
            <m:sty m:val="p"/>
          </m:rPr>
          <m:t>=</m:t>
        </m:r>
        <m:r>
          <m:t>0.067</m:t>
        </m:r>
        <m:r>
          <m:rPr>
            <m:sty m:val="p"/>
          </m:rPr>
          <m:t>,</m:t>
        </m:r>
        <m:r>
          <m:t>p</m:t>
        </m:r>
        <m:r>
          <m:rPr>
            <m:sty m:val="p"/>
          </m:rPr>
          <m:t>&lt;</m:t>
        </m:r>
        <m:r>
          <m:t>0.001</m:t>
        </m:r>
      </m:oMath>
      <w:r>
        <w:t xml:space="preserve">). This suggests that as pixel resolution increases, the mapped area of each vegetation type decreases.</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ayout w:type="fixed"/>
        <w:tblLook w:firstRow="0" w:lastRow="0" w:firstColumn="0" w:lastColumn="0" w:noHBand="0" w:noVBand="0" w:val="0000"/>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ayout w:type="fixed"/>
        <w:tblLook w:firstRow="0" w:lastRow="0" w:firstColumn="0" w:lastColumn="0" w:noHBand="0" w:noVBand="0" w:val="0000"/>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ayout w:type="fixed"/>
        <w:tblLook w:firstRow="0" w:lastRow="0" w:firstColumn="0" w:lastColumn="0" w:noHBand="0" w:noVBand="0" w:val="0000"/>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2024-10-01T12:03:57Z</dcterms:created>
  <dcterms:modified xsi:type="dcterms:W3CDTF">2024-10-01T12:03:57Z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